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10"/>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513649</w:t>
      </w:r>
      <w:r>
        <w:rPr>
          <w:b/>
          <w:sz w:val="24"/>
          <w:szCs w:val="24"/>
          <w:highlight w:val="none"/>
        </w:rPr>
        <w:t xml:space="preserve">           </w:t>
      </w:r>
    </w:p>
    <w:bookmarkEnd w:id="0"/>
    <w:bookmarkEnd w:id="1"/>
    <w:p w14:paraId="5C25862B">
      <w:pPr>
        <w:pStyle w:val="10"/>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highlight w:val="none"/>
        </w:rPr>
        <w:t xml:space="preserve"> 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4</w:t>
      </w:r>
      <w:r>
        <w:rPr>
          <w:rFonts w:ascii="Times New Roman" w:hAnsi="Times New Roman"/>
          <w:sz w:val="22"/>
          <w:highlight w:val="none"/>
        </w:rPr>
        <w:t>.</w:t>
      </w:r>
      <w:r>
        <w:rPr>
          <w:rFonts w:hint="eastAsia" w:ascii="Times New Roman" w:hAnsi="Times New Roman"/>
          <w:sz w:val="22"/>
          <w:highlight w:val="none"/>
          <w:lang w:val="en-US" w:eastAsia="zh-CN"/>
        </w:rPr>
        <w:t>19</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core requirements for SBFD</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BC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BC40C03">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21B7D78C">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63DC6369">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7B41AAF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21555D8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746F2682">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29163B47">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23E0D360">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D50F409">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618F2BB5">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6A4EDAC0">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58DD893E">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37633A79">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56E31B6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1020CBD8">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2239AA4B">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7D3CB12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30996B1B">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73118925">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23804707">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3D4BB971">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RRM core requirements for SBFD,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the remaining issue</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2689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2EB0BA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rPr>
              <w:t>Issue 2-1-2: Requirements for RACH</w:t>
            </w:r>
          </w:p>
          <w:p w14:paraId="190C21C9">
            <w:pPr>
              <w:pStyle w:val="15"/>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Proposals </w:t>
            </w:r>
          </w:p>
          <w:p w14:paraId="0178E24E">
            <w:pPr>
              <w:pStyle w:val="15"/>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1 (Nokia, LGE, ZTE): </w:t>
            </w:r>
          </w:p>
          <w:p w14:paraId="6AC72C68">
            <w:pPr>
              <w:pStyle w:val="15"/>
              <w:numPr>
                <w:ilvl w:val="2"/>
                <w:numId w:val="4"/>
              </w:numPr>
              <w:ind w:firstLineChars="0"/>
              <w:rPr>
                <w:rFonts w:hint="default" w:ascii="Times New Roman" w:hAnsi="Times New Roman" w:cs="Times New Roman"/>
                <w:color w:val="auto"/>
                <w:sz w:val="20"/>
                <w:szCs w:val="20"/>
                <w:lang w:val="en-US" w:eastAsia="ja-JP"/>
              </w:rPr>
            </w:pPr>
            <w:r>
              <w:rPr>
                <w:rFonts w:hint="default" w:ascii="Times New Roman" w:hAnsi="Times New Roman" w:cs="Times New Roman"/>
                <w:color w:val="auto"/>
                <w:sz w:val="20"/>
                <w:szCs w:val="20"/>
              </w:rPr>
              <w:t xml:space="preserve">The requirements for 4-step RA type in clause 6.2.2.2 are updated to take into account the RO-type change procedure on RO type selection from legacy RO to additional RO in SBFD symbols, and the RO type selection from additional RO to legacy RO, as agreed in RAN2. </w:t>
            </w:r>
          </w:p>
          <w:p w14:paraId="328308F3">
            <w:pPr>
              <w:pStyle w:val="15"/>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2 (HW, vivo): </w:t>
            </w:r>
          </w:p>
          <w:p w14:paraId="4F393880">
            <w:pPr>
              <w:pStyle w:val="15"/>
              <w:numPr>
                <w:ilvl w:val="2"/>
                <w:numId w:val="4"/>
              </w:numPr>
              <w:ind w:firstLineChars="0"/>
              <w:rPr>
                <w:rFonts w:hint="default" w:ascii="Times New Roman" w:hAnsi="Times New Roman" w:cs="Times New Roman"/>
                <w:color w:val="auto"/>
                <w:sz w:val="20"/>
                <w:szCs w:val="20"/>
                <w:lang w:val="en-US" w:eastAsia="ja-JP"/>
              </w:rPr>
            </w:pPr>
            <w:r>
              <w:rPr>
                <w:rFonts w:hint="default" w:ascii="Times New Roman" w:hAnsi="Times New Roman" w:cs="Times New Roman"/>
                <w:color w:val="auto"/>
                <w:sz w:val="20"/>
                <w:szCs w:val="20"/>
                <w:lang w:val="en-US" w:eastAsia="ja-JP"/>
              </w:rPr>
              <w:t>RAN4 not to update RACH requirements for SBFD.</w:t>
            </w:r>
          </w:p>
          <w:p w14:paraId="66BB0015">
            <w:pPr>
              <w:pStyle w:val="15"/>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Proposal 3 (MTK): </w:t>
            </w:r>
          </w:p>
          <w:p w14:paraId="7F776B37">
            <w:pPr>
              <w:pStyle w:val="15"/>
              <w:numPr>
                <w:ilvl w:val="2"/>
                <w:numId w:val="4"/>
              </w:numPr>
              <w:ind w:firstLineChars="0"/>
              <w:rPr>
                <w:rFonts w:hint="default" w:ascii="Times New Roman" w:hAnsi="Times New Roman" w:cs="Times New Roman"/>
                <w:color w:val="auto"/>
                <w:sz w:val="20"/>
                <w:szCs w:val="20"/>
                <w:lang w:val="en-US" w:eastAsia="ja-JP"/>
              </w:rPr>
            </w:pPr>
            <w:r>
              <w:rPr>
                <w:rFonts w:hint="default" w:ascii="Times New Roman" w:hAnsi="Times New Roman" w:cs="Times New Roman"/>
                <w:color w:val="auto"/>
                <w:sz w:val="20"/>
                <w:szCs w:val="20"/>
                <w:lang w:val="en-US" w:eastAsia="ja-JP"/>
              </w:rPr>
              <w:t>RAN4 RRM spec should refer to the agreement on PRACH transmission re-attempt in RAN2 spec without a need to duplicate the same line in RAN4 RRM spec.</w:t>
            </w:r>
          </w:p>
          <w:p w14:paraId="529CAE7C">
            <w:pPr>
              <w:numPr>
                <w:ilvl w:val="0"/>
                <w:numId w:val="4"/>
              </w:numPr>
              <w:spacing w:after="120"/>
              <w:ind w:left="72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 xml:space="preserve">Agreements </w:t>
            </w:r>
          </w:p>
          <w:p w14:paraId="23497F43">
            <w:pPr>
              <w:pStyle w:val="15"/>
              <w:numPr>
                <w:ilvl w:val="1"/>
                <w:numId w:val="4"/>
              </w:numPr>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Discuss whether and how to update RACH requirements based on RAN2 spec in maintenance phase.</w:t>
            </w:r>
          </w:p>
          <w:p w14:paraId="704B923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color w:val="auto"/>
                <w:sz w:val="20"/>
                <w:szCs w:val="20"/>
                <w:lang w:val="en-US" w:eastAsia="zh-CN"/>
              </w:rPr>
            </w:pPr>
          </w:p>
        </w:tc>
      </w:tr>
    </w:tbl>
    <w:p w14:paraId="7C6E4B3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066A73B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According to the approved RAN2 latest CR on SBFD for MAC spec [3], the related agreements on </w:t>
      </w:r>
      <w:r>
        <w:rPr>
          <w:rFonts w:hint="default" w:ascii="Times New Roman" w:hAnsi="Times New Roman"/>
          <w:sz w:val="20"/>
          <w:szCs w:val="20"/>
          <w:lang w:val="en-US" w:eastAsia="zh-CN"/>
        </w:rPr>
        <w:t>RACH occasion switch between legacy RACH occasions and additional RACH occasions</w:t>
      </w:r>
      <w:r>
        <w:rPr>
          <w:rFonts w:hint="eastAsia" w:ascii="Times New Roman" w:hAnsi="Times New Roman"/>
          <w:sz w:val="20"/>
          <w:szCs w:val="20"/>
          <w:lang w:val="en-US" w:eastAsia="zh-CN"/>
        </w:rPr>
        <w:t xml:space="preserve"> are captured. In detail, in clause 5.1.2, it is specified to determine the available set of PRACH occasions of the selected RO type. And how to select RO type is specified in clause 5.1.1 for Random Access procedure initialization and clause 5.1.4 for Random Access Response reception.</w:t>
      </w:r>
    </w:p>
    <w:p w14:paraId="03E881A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 xml:space="preserve">Following is the duplication of legacy RAN4 spec on RACH. It can be seen that for </w:t>
      </w:r>
      <w:r>
        <w:rPr>
          <w:rFonts w:hint="default" w:ascii="Times New Roman" w:hAnsi="Times New Roman" w:cs="Times New Roman"/>
          <w:sz w:val="20"/>
          <w:szCs w:val="20"/>
        </w:rPr>
        <w:t>Random Access Resource selection procedure</w:t>
      </w:r>
      <w:r>
        <w:rPr>
          <w:rFonts w:hint="eastAsia" w:ascii="Times New Roman" w:hAnsi="Times New Roman" w:cs="Times New Roman"/>
          <w:sz w:val="20"/>
          <w:szCs w:val="20"/>
          <w:lang w:val="en-US" w:eastAsia="zh-CN"/>
        </w:rPr>
        <w:t xml:space="preserve">, it directly refer to </w:t>
      </w:r>
      <w:r>
        <w:rPr>
          <w:rFonts w:hint="eastAsia" w:ascii="Times New Roman" w:hAnsi="Times New Roman"/>
          <w:sz w:val="20"/>
          <w:szCs w:val="20"/>
          <w:lang w:val="en-US" w:eastAsia="zh-CN"/>
        </w:rPr>
        <w:t xml:space="preserve">clause 5.1.2 </w:t>
      </w:r>
      <w:r>
        <w:rPr>
          <w:rFonts w:hint="eastAsia" w:ascii="Times New Roman" w:hAnsi="Times New Roman" w:cs="Times New Roman"/>
          <w:sz w:val="20"/>
          <w:szCs w:val="20"/>
          <w:lang w:val="en-US" w:eastAsia="zh-CN"/>
        </w:rPr>
        <w:t xml:space="preserve">RAN2 spec </w:t>
      </w:r>
      <w:r>
        <w:rPr>
          <w:rFonts w:hint="default" w:ascii="Times New Roman" w:hAnsi="Times New Roman" w:cs="Times New Roman"/>
          <w:sz w:val="20"/>
          <w:szCs w:val="20"/>
        </w:rPr>
        <w:t>3</w:t>
      </w:r>
      <w:r>
        <w:rPr>
          <w:rFonts w:hint="default" w:ascii="Times New Roman" w:hAnsi="Times New Roman" w:cs="Times New Roman"/>
          <w:sz w:val="20"/>
          <w:szCs w:val="20"/>
          <w:lang w:eastAsia="zh-CN"/>
        </w:rPr>
        <w:t>8</w:t>
      </w:r>
      <w:r>
        <w:rPr>
          <w:rFonts w:hint="default" w:ascii="Times New Roman" w:hAnsi="Times New Roman" w:cs="Times New Roman"/>
          <w:sz w:val="20"/>
          <w:szCs w:val="20"/>
        </w:rPr>
        <w:t>.321</w:t>
      </w:r>
      <w:r>
        <w:rPr>
          <w:rFonts w:hint="eastAsia" w:ascii="Times New Roman" w:hAnsi="Times New Roman" w:cs="Times New Roman"/>
          <w:sz w:val="20"/>
          <w:szCs w:val="20"/>
          <w:lang w:val="en-US" w:eastAsia="zh-CN"/>
        </w:rPr>
        <w:t>. With this, it seems no need to update RAN4 spec to.</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1C17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1A59333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TS 38.133</w:t>
            </w:r>
          </w:p>
          <w:p w14:paraId="42DB8881">
            <w:pPr>
              <w:pStyle w:val="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6.2.2.2.1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Contention based random access</w:t>
            </w:r>
          </w:p>
          <w:p w14:paraId="7B1093B4">
            <w:pPr>
              <w:pStyle w:val="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6.2.2.2.1.1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Correct behaviour when transmitting Random Access Preamble</w:t>
            </w:r>
          </w:p>
          <w:p w14:paraId="052A0753">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With the UE selected SSB with SS-RSRP above </w:t>
            </w:r>
            <w:r>
              <w:rPr>
                <w:rFonts w:hint="default" w:ascii="Times New Roman" w:hAnsi="Times New Roman" w:cs="Times New Roman"/>
                <w:i/>
                <w:sz w:val="20"/>
                <w:szCs w:val="20"/>
                <w:lang w:eastAsia="zh-CN"/>
              </w:rPr>
              <w:t>rsrp-ThresholdSSB</w:t>
            </w:r>
            <w:r>
              <w:rPr>
                <w:rFonts w:hint="default" w:ascii="Times New Roman" w:hAnsi="Times New Roman" w:cs="Times New Roman"/>
                <w:sz w:val="20"/>
                <w:szCs w:val="20"/>
                <w:lang w:eastAsia="zh-CN"/>
              </w:rPr>
              <w:t xml:space="preserve">, UE shall have the capability to select a </w:t>
            </w:r>
            <w:r>
              <w:rPr>
                <w:rFonts w:hint="default" w:ascii="Times New Roman" w:hAnsi="Times New Roman" w:cs="Times New Roman"/>
                <w:sz w:val="20"/>
                <w:szCs w:val="20"/>
              </w:rPr>
              <w:t>Random Access Preamble</w:t>
            </w:r>
            <w:r>
              <w:rPr>
                <w:rFonts w:hint="default" w:ascii="Times New Roman" w:hAnsi="Times New Roman" w:cs="Times New Roman"/>
                <w:sz w:val="20"/>
                <w:szCs w:val="20"/>
                <w:lang w:eastAsia="zh-CN"/>
              </w:rPr>
              <w:t xml:space="preserve"> randomly with equal probability from the </w:t>
            </w:r>
            <w:r>
              <w:rPr>
                <w:rFonts w:hint="default" w:ascii="Times New Roman" w:hAnsi="Times New Roman" w:cs="Times New Roman"/>
                <w:sz w:val="20"/>
                <w:szCs w:val="20"/>
              </w:rPr>
              <w:t>Random Access Preamble</w:t>
            </w:r>
            <w:r>
              <w:rPr>
                <w:rFonts w:hint="default" w:ascii="Times New Roman" w:hAnsi="Times New Roman" w:cs="Times New Roman"/>
                <w:sz w:val="20"/>
                <w:szCs w:val="20"/>
                <w:lang w:eastAsia="zh-CN"/>
              </w:rPr>
              <w:t xml:space="preserve">s associated with the selected SSB if the association between Random Access Preambles and SSB is configured, </w:t>
            </w:r>
            <w:r>
              <w:rPr>
                <w:rFonts w:hint="default" w:ascii="Times New Roman" w:hAnsi="Times New Roman" w:cs="Times New Roman"/>
                <w:sz w:val="20"/>
                <w:szCs w:val="20"/>
              </w:rPr>
              <w:t>as specified in clause 5.1.</w:t>
            </w:r>
            <w:r>
              <w:rPr>
                <w:rFonts w:hint="default" w:ascii="Times New Roman" w:hAnsi="Times New Roman" w:cs="Times New Roman"/>
                <w:sz w:val="20"/>
                <w:szCs w:val="20"/>
                <w:lang w:eastAsia="zh-CN"/>
              </w:rPr>
              <w:t>2</w:t>
            </w:r>
            <w:r>
              <w:rPr>
                <w:rFonts w:hint="default" w:ascii="Times New Roman" w:hAnsi="Times New Roman" w:cs="Times New Roman"/>
                <w:sz w:val="20"/>
                <w:szCs w:val="20"/>
              </w:rPr>
              <w:t xml:space="preserve"> in TS 3</w:t>
            </w:r>
            <w:r>
              <w:rPr>
                <w:rFonts w:hint="default" w:ascii="Times New Roman" w:hAnsi="Times New Roman" w:cs="Times New Roman"/>
                <w:sz w:val="20"/>
                <w:szCs w:val="20"/>
                <w:lang w:eastAsia="zh-CN"/>
              </w:rPr>
              <w:t>8</w:t>
            </w:r>
            <w:r>
              <w:rPr>
                <w:rFonts w:hint="default" w:ascii="Times New Roman" w:hAnsi="Times New Roman" w:cs="Times New Roman"/>
                <w:sz w:val="20"/>
                <w:szCs w:val="20"/>
              </w:rPr>
              <w:t>.321 [7]</w:t>
            </w:r>
            <w:r>
              <w:rPr>
                <w:rFonts w:hint="default" w:ascii="Times New Roman" w:hAnsi="Times New Roman" w:cs="Times New Roman"/>
                <w:sz w:val="20"/>
                <w:szCs w:val="20"/>
                <w:lang w:eastAsia="zh-CN"/>
              </w:rPr>
              <w:t>.</w:t>
            </w:r>
          </w:p>
          <w:p w14:paraId="6E6938B9">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With the UE selected SSB with SS-RSRP above </w:t>
            </w:r>
            <w:r>
              <w:rPr>
                <w:rFonts w:hint="default" w:ascii="Times New Roman" w:hAnsi="Times New Roman" w:cs="Times New Roman"/>
                <w:i/>
                <w:sz w:val="20"/>
                <w:szCs w:val="20"/>
                <w:lang w:eastAsia="zh-CN"/>
              </w:rPr>
              <w:t>rsrp-ThresholdSSB</w:t>
            </w:r>
            <w:r>
              <w:rPr>
                <w:rFonts w:hint="default" w:ascii="Times New Roman" w:hAnsi="Times New Roman" w:cs="Times New Roman"/>
                <w:sz w:val="20"/>
                <w:szCs w:val="20"/>
                <w:lang w:eastAsia="zh-CN"/>
              </w:rPr>
              <w:t xml:space="preserve">, UE shall have the capability to transmit Random Access Preamble on the next available PRACH occasion from the PRACH occasions corresponding to the selected SSB permitted by the restrictions given by the </w:t>
            </w:r>
            <w:r>
              <w:rPr>
                <w:rFonts w:hint="default" w:ascii="Times New Roman" w:hAnsi="Times New Roman" w:cs="Times New Roman"/>
                <w:i/>
                <w:sz w:val="20"/>
                <w:szCs w:val="20"/>
                <w:lang w:eastAsia="zh-CN"/>
              </w:rPr>
              <w:t>ra-ssb-OccasionMaskIndex</w:t>
            </w:r>
            <w:r>
              <w:rPr>
                <w:rFonts w:hint="default" w:ascii="Times New Roman" w:hAnsi="Times New Roman" w:cs="Times New Roman"/>
                <w:sz w:val="20"/>
                <w:szCs w:val="20"/>
                <w:lang w:eastAsia="zh-CN"/>
              </w:rPr>
              <w:t xml:space="preserve"> if configured, if the association between PRACH occasions and SSBs is configured, and </w:t>
            </w:r>
            <w:r>
              <w:rPr>
                <w:rFonts w:hint="default" w:ascii="Times New Roman" w:hAnsi="Times New Roman" w:cs="Times New Roman"/>
                <w:sz w:val="20"/>
                <w:szCs w:val="20"/>
                <w:lang w:eastAsia="ko-KR"/>
              </w:rPr>
              <w:t xml:space="preserve">PRACH occasion </w:t>
            </w:r>
            <w:r>
              <w:rPr>
                <w:rFonts w:hint="default" w:ascii="Times New Roman" w:hAnsi="Times New Roman" w:cs="Times New Roman"/>
                <w:sz w:val="20"/>
                <w:szCs w:val="20"/>
                <w:lang w:eastAsia="zh-CN"/>
              </w:rPr>
              <w:t xml:space="preserve">shall be </w:t>
            </w:r>
            <w:r>
              <w:rPr>
                <w:rFonts w:hint="default" w:ascii="Times New Roman" w:hAnsi="Times New Roman" w:cs="Times New Roman"/>
                <w:sz w:val="20"/>
                <w:szCs w:val="20"/>
                <w:lang w:eastAsia="ko-KR"/>
              </w:rPr>
              <w:t>randomly</w:t>
            </w:r>
            <w:r>
              <w:rPr>
                <w:rFonts w:hint="default" w:ascii="Times New Roman" w:hAnsi="Times New Roman" w:cs="Times New Roman"/>
                <w:sz w:val="20"/>
                <w:szCs w:val="20"/>
                <w:lang w:eastAsia="zh-CN"/>
              </w:rPr>
              <w:t xml:space="preserve"> selected</w:t>
            </w:r>
            <w:r>
              <w:rPr>
                <w:rFonts w:hint="default" w:ascii="Times New Roman" w:hAnsi="Times New Roman" w:cs="Times New Roman"/>
                <w:sz w:val="20"/>
                <w:szCs w:val="20"/>
                <w:lang w:eastAsia="ko-KR"/>
              </w:rPr>
              <w:t xml:space="preserve"> with equal probability amongst the </w:t>
            </w:r>
            <w:r>
              <w:rPr>
                <w:rFonts w:hint="default" w:ascii="Times New Roman" w:hAnsi="Times New Roman" w:cs="Times New Roman"/>
                <w:sz w:val="20"/>
                <w:szCs w:val="20"/>
                <w:lang w:eastAsia="zh-CN"/>
              </w:rPr>
              <w:t xml:space="preserve">selected SSB associated </w:t>
            </w:r>
            <w:r>
              <w:rPr>
                <w:rFonts w:hint="default" w:ascii="Times New Roman" w:hAnsi="Times New Roman" w:cs="Times New Roman"/>
                <w:sz w:val="20"/>
                <w:szCs w:val="20"/>
                <w:lang w:eastAsia="ko-KR"/>
              </w:rPr>
              <w:t>PRACH occasions occurring simultaneously but on different subcarriers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as specified in clause 5.1.</w:t>
            </w:r>
            <w:r>
              <w:rPr>
                <w:rFonts w:hint="default" w:ascii="Times New Roman" w:hAnsi="Times New Roman" w:cs="Times New Roman"/>
                <w:sz w:val="20"/>
                <w:szCs w:val="20"/>
                <w:lang w:eastAsia="zh-CN"/>
              </w:rPr>
              <w:t>2</w:t>
            </w:r>
            <w:r>
              <w:rPr>
                <w:rFonts w:hint="default" w:ascii="Times New Roman" w:hAnsi="Times New Roman" w:cs="Times New Roman"/>
                <w:sz w:val="20"/>
                <w:szCs w:val="20"/>
              </w:rPr>
              <w:t xml:space="preserve"> in TS 3</w:t>
            </w:r>
            <w:r>
              <w:rPr>
                <w:rFonts w:hint="default" w:ascii="Times New Roman" w:hAnsi="Times New Roman" w:cs="Times New Roman"/>
                <w:sz w:val="20"/>
                <w:szCs w:val="20"/>
                <w:lang w:eastAsia="zh-CN"/>
              </w:rPr>
              <w:t>8</w:t>
            </w:r>
            <w:r>
              <w:rPr>
                <w:rFonts w:hint="default" w:ascii="Times New Roman" w:hAnsi="Times New Roman" w:cs="Times New Roman"/>
                <w:sz w:val="20"/>
                <w:szCs w:val="20"/>
              </w:rPr>
              <w:t>.321 [7]</w:t>
            </w:r>
            <w:r>
              <w:rPr>
                <w:rFonts w:hint="default" w:ascii="Times New Roman" w:hAnsi="Times New Roman" w:cs="Times New Roman"/>
                <w:sz w:val="20"/>
                <w:szCs w:val="20"/>
                <w:lang w:eastAsia="zh-CN"/>
              </w:rPr>
              <w:t>.</w:t>
            </w:r>
          </w:p>
          <w:p w14:paraId="55B204BF">
            <w:pPr>
              <w:pStyle w:val="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6.2.2.2.1.2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Correct behaviour when receiving Random Access Response</w:t>
            </w:r>
          </w:p>
          <w:p w14:paraId="296CF0D3">
            <w:pPr>
              <w:rPr>
                <w:rFonts w:hint="default" w:ascii="Times New Roman" w:hAnsi="Times New Roman" w:cs="Times New Roman"/>
                <w:sz w:val="20"/>
                <w:szCs w:val="20"/>
                <w:lang w:eastAsia="zh-CN"/>
              </w:rPr>
            </w:pPr>
            <w:r>
              <w:rPr>
                <w:rFonts w:hint="default" w:ascii="Times New Roman" w:hAnsi="Times New Roman" w:cs="Times New Roman"/>
                <w:sz w:val="20"/>
                <w:szCs w:val="20"/>
              </w:rPr>
              <w:t>The UE may stop monitoring for Random Access Response(s) and shall transmit the msg3 if the Random Access Response contains a Random Access Preamble identifier corresponding to the transmitted Random Access Preamble.</w:t>
            </w:r>
          </w:p>
          <w:p w14:paraId="535F9589">
            <w:pPr>
              <w:rPr>
                <w:rFonts w:hint="default" w:ascii="Times New Roman" w:hAnsi="Times New Roman" w:cs="Times New Roman"/>
                <w:sz w:val="20"/>
                <w:szCs w:val="20"/>
              </w:rPr>
            </w:pPr>
            <w:r>
              <w:rPr>
                <w:rFonts w:hint="default" w:ascii="Times New Roman" w:hAnsi="Times New Roman" w:cs="Times New Roman"/>
                <w:sz w:val="20"/>
                <w:szCs w:val="20"/>
              </w:rPr>
              <w:t>The UE shall a</w:t>
            </w:r>
            <w:r>
              <w:rPr>
                <w:rFonts w:hint="default" w:ascii="Times New Roman" w:hAnsi="Times New Roman" w:cs="Times New Roman"/>
                <w:sz w:val="20"/>
                <w:szCs w:val="20"/>
                <w:lang w:eastAsia="zh-CN"/>
              </w:rPr>
              <w:t xml:space="preserve">gain </w:t>
            </w:r>
            <w:r>
              <w:rPr>
                <w:rFonts w:hint="default" w:ascii="Times New Roman" w:hAnsi="Times New Roman" w:cs="Times New Roman"/>
                <w:sz w:val="20"/>
                <w:szCs w:val="20"/>
              </w:rPr>
              <w:t>perform the Random Access Resource selection procedure defined in clause 5.1.2</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in TS 3</w:t>
            </w:r>
            <w:r>
              <w:rPr>
                <w:rFonts w:hint="default" w:ascii="Times New Roman" w:hAnsi="Times New Roman" w:cs="Times New Roman"/>
                <w:sz w:val="20"/>
                <w:szCs w:val="20"/>
                <w:lang w:eastAsia="zh-CN"/>
              </w:rPr>
              <w:t>8</w:t>
            </w:r>
            <w:r>
              <w:rPr>
                <w:rFonts w:hint="default" w:ascii="Times New Roman" w:hAnsi="Times New Roman" w:cs="Times New Roman"/>
                <w:sz w:val="20"/>
                <w:szCs w:val="20"/>
              </w:rPr>
              <w:t>.321 [7]</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and transmit with the calculated PRACH transmission power </w:t>
            </w:r>
            <w:r>
              <w:rPr>
                <w:rFonts w:hint="default" w:ascii="Times New Roman" w:hAnsi="Times New Roman" w:cs="Times New Roman"/>
                <w:sz w:val="20"/>
                <w:szCs w:val="20"/>
                <w:lang w:eastAsia="zh-CN"/>
              </w:rPr>
              <w:t>when</w:t>
            </w:r>
            <w:r>
              <w:rPr>
                <w:rFonts w:hint="default" w:ascii="Times New Roman" w:hAnsi="Times New Roman" w:cs="Times New Roman"/>
                <w:sz w:val="20"/>
                <w:szCs w:val="20"/>
              </w:rPr>
              <w:t xml:space="preserve"> the backoff time expires if all received Random Access Responses contain Random Access Preamble identifiers that do not match the transmitted Random Access Preamble.</w:t>
            </w:r>
          </w:p>
          <w:p w14:paraId="14F87C2B">
            <w:pPr>
              <w:pStyle w:val="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6.2.2.2.1.3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Correct behaviour when not receiving Random Access Response</w:t>
            </w:r>
          </w:p>
          <w:p w14:paraId="0103A268">
            <w:p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 xml:space="preserve">The UE shall </w:t>
            </w:r>
            <w:r>
              <w:rPr>
                <w:rFonts w:hint="default" w:ascii="Times New Roman" w:hAnsi="Times New Roman" w:cs="Times New Roman"/>
                <w:sz w:val="20"/>
                <w:szCs w:val="20"/>
                <w:lang w:eastAsia="zh-CN"/>
              </w:rPr>
              <w:t xml:space="preserve">again </w:t>
            </w:r>
            <w:r>
              <w:rPr>
                <w:rFonts w:hint="default" w:ascii="Times New Roman" w:hAnsi="Times New Roman" w:cs="Times New Roman"/>
                <w:sz w:val="20"/>
                <w:szCs w:val="20"/>
              </w:rPr>
              <w:t>perform the Random Access Resource selection procedure defined in clause 5.1.2</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in TS 3</w:t>
            </w:r>
            <w:r>
              <w:rPr>
                <w:rFonts w:hint="default" w:ascii="Times New Roman" w:hAnsi="Times New Roman" w:cs="Times New Roman"/>
                <w:sz w:val="20"/>
                <w:szCs w:val="20"/>
                <w:lang w:eastAsia="zh-CN"/>
              </w:rPr>
              <w:t>8</w:t>
            </w:r>
            <w:r>
              <w:rPr>
                <w:rFonts w:hint="default" w:ascii="Times New Roman" w:hAnsi="Times New Roman" w:cs="Times New Roman"/>
                <w:sz w:val="20"/>
                <w:szCs w:val="20"/>
              </w:rPr>
              <w:t>.321 [7]</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and transmit with the calculated PRACH transmission power </w:t>
            </w:r>
            <w:r>
              <w:rPr>
                <w:rFonts w:hint="default" w:ascii="Times New Roman" w:hAnsi="Times New Roman" w:cs="Times New Roman"/>
                <w:sz w:val="20"/>
                <w:szCs w:val="20"/>
                <w:lang w:eastAsia="zh-CN"/>
              </w:rPr>
              <w:t>when</w:t>
            </w:r>
            <w:r>
              <w:rPr>
                <w:rFonts w:hint="default" w:ascii="Times New Roman" w:hAnsi="Times New Roman" w:cs="Times New Roman"/>
                <w:sz w:val="20"/>
                <w:szCs w:val="20"/>
              </w:rPr>
              <w:t xml:space="preserve"> the backoff time expires </w:t>
            </w:r>
            <w:r>
              <w:rPr>
                <w:rFonts w:hint="default" w:ascii="Times New Roman" w:hAnsi="Times New Roman" w:cs="Times New Roman"/>
                <w:sz w:val="20"/>
                <w:szCs w:val="20"/>
                <w:lang w:eastAsia="zh-CN"/>
              </w:rPr>
              <w:t>if no Random Access Response is received within the RA Response window</w:t>
            </w:r>
            <w:r>
              <w:rPr>
                <w:rFonts w:hint="default" w:ascii="Times New Roman" w:hAnsi="Times New Roman" w:cs="Times New Roman"/>
                <w:sz w:val="20"/>
                <w:szCs w:val="20"/>
              </w:rPr>
              <w:t xml:space="preserve"> defined in clause 5.1.4 </w:t>
            </w:r>
            <w:r>
              <w:rPr>
                <w:rFonts w:hint="default" w:ascii="Times New Roman" w:hAnsi="Times New Roman" w:cs="Times New Roman"/>
                <w:sz w:val="20"/>
                <w:szCs w:val="20"/>
                <w:lang w:eastAsia="zh-CN"/>
              </w:rPr>
              <w:t xml:space="preserve">in </w:t>
            </w:r>
            <w:r>
              <w:rPr>
                <w:rFonts w:hint="default" w:ascii="Times New Roman" w:hAnsi="Times New Roman" w:cs="Times New Roman"/>
                <w:sz w:val="20"/>
                <w:szCs w:val="20"/>
              </w:rPr>
              <w:t>TS 3</w:t>
            </w:r>
            <w:r>
              <w:rPr>
                <w:rFonts w:hint="default" w:ascii="Times New Roman" w:hAnsi="Times New Roman" w:cs="Times New Roman"/>
                <w:sz w:val="20"/>
                <w:szCs w:val="20"/>
                <w:lang w:eastAsia="zh-CN"/>
              </w:rPr>
              <w:t>8</w:t>
            </w:r>
            <w:r>
              <w:rPr>
                <w:rFonts w:hint="default" w:ascii="Times New Roman" w:hAnsi="Times New Roman" w:cs="Times New Roman"/>
                <w:sz w:val="20"/>
                <w:szCs w:val="20"/>
              </w:rPr>
              <w:t>.321</w:t>
            </w:r>
            <w:r>
              <w:rPr>
                <w:rFonts w:hint="default" w:ascii="Times New Roman" w:hAnsi="Times New Roman" w:cs="Times New Roman"/>
                <w:sz w:val="20"/>
                <w:szCs w:val="20"/>
                <w:lang w:eastAsia="zh-CN"/>
              </w:rPr>
              <w:t xml:space="preserve"> [7]</w:t>
            </w:r>
            <w:r>
              <w:rPr>
                <w:rFonts w:hint="default" w:ascii="Times New Roman" w:hAnsi="Times New Roman" w:cs="Times New Roman"/>
                <w:sz w:val="20"/>
                <w:szCs w:val="20"/>
              </w:rPr>
              <w:t>.</w:t>
            </w:r>
          </w:p>
        </w:tc>
      </w:tr>
    </w:tbl>
    <w:p w14:paraId="167E9A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3E96F0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RO type change, considering the related procedures are captured in RAN2 spec</w:t>
      </w:r>
      <w:r>
        <w:rPr>
          <w:rFonts w:hint="eastAsia" w:ascii="Times New Roman" w:hAnsi="Times New Roman" w:cs="Times New Roman"/>
          <w:b/>
          <w:bCs/>
          <w:i/>
          <w:iCs/>
          <w:color w:val="auto"/>
          <w:sz w:val="20"/>
          <w:szCs w:val="20"/>
          <w:lang w:val="en-US" w:eastAsia="zh-CN"/>
        </w:rPr>
        <w:t xml:space="preserve">, </w:t>
      </w:r>
      <w:r>
        <w:rPr>
          <w:rFonts w:hint="eastAsia" w:ascii="Times New Roman" w:hAnsi="Times New Roman"/>
          <w:b/>
          <w:bCs/>
          <w:i/>
          <w:iCs/>
          <w:sz w:val="20"/>
          <w:szCs w:val="20"/>
          <w:lang w:val="en-US" w:eastAsia="zh-CN"/>
        </w:rPr>
        <w:t>no need to duplicate the procedures in RAN4 spec.</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bookmarkStart w:id="8" w:name="_GoBack"/>
      <w:bookmarkEnd w:id="8"/>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the remaining issue for RRM core requirements for SBFD</w:t>
      </w:r>
      <w:r>
        <w:rPr>
          <w:rFonts w:hint="eastAsia" w:ascii="Times New Roman" w:hAnsi="Times New Roman"/>
          <w:sz w:val="20"/>
          <w:szCs w:val="20"/>
          <w:highlight w:val="none"/>
        </w:rPr>
        <w:t>. The proposals are:</w:t>
      </w:r>
    </w:p>
    <w:p w14:paraId="4FF843D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for RO type change, considering the related procedures are captured in RAN2 spec</w:t>
      </w:r>
      <w:r>
        <w:rPr>
          <w:rFonts w:hint="eastAsia" w:ascii="Times New Roman" w:hAnsi="Times New Roman" w:cs="Times New Roman"/>
          <w:b/>
          <w:bCs/>
          <w:i/>
          <w:iCs/>
          <w:color w:val="auto"/>
          <w:sz w:val="20"/>
          <w:szCs w:val="20"/>
          <w:lang w:val="en-US" w:eastAsia="zh-CN"/>
        </w:rPr>
        <w:t xml:space="preserve">, </w:t>
      </w:r>
      <w:r>
        <w:rPr>
          <w:rFonts w:hint="eastAsia" w:ascii="Times New Roman" w:hAnsi="Times New Roman"/>
          <w:b/>
          <w:bCs/>
          <w:i/>
          <w:iCs/>
          <w:sz w:val="20"/>
          <w:szCs w:val="20"/>
          <w:lang w:val="en-US" w:eastAsia="zh-CN"/>
        </w:rPr>
        <w:t>no need to duplicate the procedures in RAN4 spec.</w:t>
      </w:r>
    </w:p>
    <w:p w14:paraId="390A9BF2">
      <w:pPr>
        <w:tabs>
          <w:tab w:val="left" w:pos="1134"/>
        </w:tabs>
        <w:spacing w:after="180" w:line="240" w:lineRule="exact"/>
        <w:rPr>
          <w:rFonts w:hint="eastAsia" w:ascii="Times New Roman" w:hAnsi="Times New Roman"/>
          <w:sz w:val="20"/>
          <w:szCs w:val="20"/>
          <w:highlight w:val="none"/>
        </w:rPr>
      </w:pP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1A6B83CA">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w:t>
      </w:r>
      <w:r>
        <w:rPr>
          <w:rFonts w:hint="eastAsia" w:ascii="Times" w:hAnsi="Times" w:eastAsia="宋体"/>
          <w:b w:val="0"/>
          <w:sz w:val="20"/>
          <w:lang w:val="en-US" w:eastAsia="zh-CN"/>
        </w:rPr>
        <w:t>12133, WF on RRM requirements for NR_duplex_evo, Huawei, HiSilicon</w:t>
      </w:r>
    </w:p>
    <w:p w14:paraId="67004EE2">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R2-2506606</w:t>
      </w:r>
      <w:r>
        <w:rPr>
          <w:rFonts w:hint="eastAsia" w:ascii="Times" w:hAnsi="Times" w:eastAsia="宋体"/>
          <w:b w:val="0"/>
          <w:sz w:val="20"/>
          <w:lang w:val="en-US" w:eastAsia="zh-CN"/>
        </w:rPr>
        <w:t>, Introduction of Rel-19 Evolution of NR duplex operation (SBFD) for MAC spec</w:t>
      </w:r>
    </w:p>
    <w:p w14:paraId="371FE1D6">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R4-2508274</w:t>
      </w:r>
      <w:r>
        <w:rPr>
          <w:rFonts w:hint="eastAsia" w:ascii="Times" w:hAnsi="Times" w:eastAsia="宋体"/>
          <w:b w:val="0"/>
          <w:sz w:val="20"/>
          <w:lang w:val="en-US" w:eastAsia="zh-CN"/>
        </w:rPr>
        <w:t>, WF on RRM requirements for NR_duplex_evo, Huawei, HiSilicon</w:t>
      </w:r>
    </w:p>
    <w:p w14:paraId="3901CFCF">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R4-2504904</w:t>
      </w:r>
      <w:r>
        <w:rPr>
          <w:rFonts w:hint="eastAsia" w:ascii="Times" w:hAnsi="Times" w:eastAsia="宋体"/>
          <w:b w:val="0"/>
          <w:sz w:val="20"/>
          <w:lang w:val="en-US" w:eastAsia="zh-CN"/>
        </w:rPr>
        <w:t>, WF on RRM requirements for NR_duplex_evo, Huawei, HiSilicon</w:t>
      </w:r>
    </w:p>
    <w:p w14:paraId="744D8755">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502699, WF on RRM requirements for NR_duplex_evo, Huawei, HiSilicon, Apple</w:t>
      </w:r>
    </w:p>
    <w:p w14:paraId="253D06AD">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2D55E443">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R4-2416919</w:t>
      </w:r>
      <w:r>
        <w:rPr>
          <w:rFonts w:hint="eastAsia" w:ascii="Times" w:hAnsi="Times" w:eastAsia="宋体"/>
          <w:b w:val="0"/>
          <w:sz w:val="20"/>
          <w:lang w:val="en-US" w:eastAsia="zh-CN"/>
        </w:rPr>
        <w:t xml:space="preserve">, </w:t>
      </w:r>
      <w:r>
        <w:rPr>
          <w:rFonts w:hint="eastAsia" w:ascii="Times" w:hAnsi="Times" w:eastAsia="宋体"/>
          <w:b w:val="0"/>
          <w:sz w:val="20"/>
          <w:lang w:eastAsia="zh-CN"/>
        </w:rPr>
        <w:t>LS on the scenarios of UE-to-UE CLI measurement report in SBFD operation</w:t>
      </w:r>
    </w:p>
    <w:p w14:paraId="46819DFF">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R1-2410890, Reply LS on the scenarios of UE-to-UE CLI measurement report in SBFD operation</w:t>
      </w:r>
    </w:p>
    <w:p w14:paraId="10B1F6D9">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Simulation assumption for evaluate L1- SRS-RSRP measurement requirements, Ericsson</w:t>
      </w:r>
    </w:p>
    <w:p w14:paraId="1BDF6901">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502633, </w:t>
      </w:r>
      <w:r>
        <w:rPr>
          <w:rFonts w:hint="eastAsia" w:ascii="Times" w:hAnsi="Times" w:eastAsia="宋体"/>
          <w:b w:val="0"/>
          <w:sz w:val="20"/>
          <w:lang w:eastAsia="zh-CN"/>
        </w:rPr>
        <w:t>Updated summary of simulation results for L1-SRS-RSRP</w:t>
      </w:r>
      <w:r>
        <w:rPr>
          <w:rFonts w:hint="eastAsia" w:ascii="Times" w:hAnsi="Times" w:eastAsia="宋体"/>
          <w:b w:val="0"/>
          <w:sz w:val="20"/>
          <w:lang w:val="en-US" w:eastAsia="zh-CN"/>
        </w:rPr>
        <w:t>, Huawei, HiSilicon</w:t>
      </w:r>
    </w:p>
    <w:p w14:paraId="184DB867">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7891C189">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221CA3CA">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2CD0C3B6">
      <w:pPr>
        <w:pStyle w:val="16"/>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eastAsia="zh-CN"/>
        </w:rPr>
        <w:t>R1-2501620</w:t>
      </w:r>
      <w:r>
        <w:rPr>
          <w:rFonts w:hint="eastAsia" w:ascii="Times" w:hAnsi="Times" w:eastAsia="宋体"/>
          <w:b w:val="0"/>
          <w:sz w:val="20"/>
          <w:lang w:val="en-US" w:eastAsia="zh-CN"/>
        </w:rPr>
        <w:t xml:space="preserve">, </w:t>
      </w:r>
      <w:r>
        <w:rPr>
          <w:rFonts w:hint="eastAsia" w:ascii="Times" w:hAnsi="Times" w:eastAsia="宋体"/>
          <w:b w:val="0"/>
          <w:sz w:val="20"/>
          <w:lang w:eastAsia="zh-CN"/>
        </w:rPr>
        <w:t>LS on L1 based UE-to-UE CLI measurement and reporting</w:t>
      </w:r>
    </w:p>
    <w:p w14:paraId="24E42CB0">
      <w:pPr>
        <w:pStyle w:val="16"/>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6"/>
        <w:framePr w:wrap="auto" w:vAnchor="margin" w:hAnchor="text" w:yAlign="inline"/>
        <w:ind w:right="400"/>
        <w:jc w:val="both"/>
        <w:rPr>
          <w:rFonts w:ascii="Times" w:hAnsi="Times" w:eastAsia="宋体"/>
          <w:b w:val="0"/>
          <w:sz w:val="20"/>
          <w:lang w:eastAsia="zh-CN"/>
        </w:rPr>
      </w:pPr>
    </w:p>
    <w:p w14:paraId="0A523C19">
      <w:pPr>
        <w:pStyle w:val="16"/>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2783C04"/>
    <w:rsid w:val="06A50B76"/>
    <w:rsid w:val="06BB2083"/>
    <w:rsid w:val="08375E63"/>
    <w:rsid w:val="08D72A91"/>
    <w:rsid w:val="0A7A49BE"/>
    <w:rsid w:val="0A922065"/>
    <w:rsid w:val="0B1579BA"/>
    <w:rsid w:val="0BB44D87"/>
    <w:rsid w:val="0CD8520D"/>
    <w:rsid w:val="0DD40EBD"/>
    <w:rsid w:val="0E367C5D"/>
    <w:rsid w:val="0F095A37"/>
    <w:rsid w:val="105B6EC8"/>
    <w:rsid w:val="11604C92"/>
    <w:rsid w:val="11D129C7"/>
    <w:rsid w:val="12236F4E"/>
    <w:rsid w:val="13057541"/>
    <w:rsid w:val="146A55F3"/>
    <w:rsid w:val="15AD04C1"/>
    <w:rsid w:val="196675BB"/>
    <w:rsid w:val="197D0A1F"/>
    <w:rsid w:val="19A91D8B"/>
    <w:rsid w:val="19CE05F3"/>
    <w:rsid w:val="1AF8515B"/>
    <w:rsid w:val="1B65127F"/>
    <w:rsid w:val="1BC06F9C"/>
    <w:rsid w:val="1CB317C0"/>
    <w:rsid w:val="1CEC5C03"/>
    <w:rsid w:val="1E9601BD"/>
    <w:rsid w:val="1FCF11BE"/>
    <w:rsid w:val="20282B52"/>
    <w:rsid w:val="20372402"/>
    <w:rsid w:val="208805ED"/>
    <w:rsid w:val="20AC7A84"/>
    <w:rsid w:val="22ED6B5D"/>
    <w:rsid w:val="232A2216"/>
    <w:rsid w:val="232F3DA0"/>
    <w:rsid w:val="23657AA0"/>
    <w:rsid w:val="24FC7E99"/>
    <w:rsid w:val="2509234F"/>
    <w:rsid w:val="28501313"/>
    <w:rsid w:val="2A3C1140"/>
    <w:rsid w:val="2A552882"/>
    <w:rsid w:val="2B936BAA"/>
    <w:rsid w:val="2BD8717A"/>
    <w:rsid w:val="2CB20162"/>
    <w:rsid w:val="2D2B45A9"/>
    <w:rsid w:val="2E8A1F67"/>
    <w:rsid w:val="2FCE1F78"/>
    <w:rsid w:val="31174DA4"/>
    <w:rsid w:val="312F6D42"/>
    <w:rsid w:val="31E51409"/>
    <w:rsid w:val="32886F74"/>
    <w:rsid w:val="33552E44"/>
    <w:rsid w:val="354F3741"/>
    <w:rsid w:val="3555506A"/>
    <w:rsid w:val="38A21551"/>
    <w:rsid w:val="3B8D0A22"/>
    <w:rsid w:val="3C0E0A5C"/>
    <w:rsid w:val="3C877675"/>
    <w:rsid w:val="3E2E4312"/>
    <w:rsid w:val="3EC83B67"/>
    <w:rsid w:val="3F0D09C6"/>
    <w:rsid w:val="3F3E1E72"/>
    <w:rsid w:val="3FE206D5"/>
    <w:rsid w:val="40BB4940"/>
    <w:rsid w:val="40C377CE"/>
    <w:rsid w:val="41206955"/>
    <w:rsid w:val="41C932CA"/>
    <w:rsid w:val="43247753"/>
    <w:rsid w:val="43394480"/>
    <w:rsid w:val="44767BDF"/>
    <w:rsid w:val="44DC6CDB"/>
    <w:rsid w:val="44FF5255"/>
    <w:rsid w:val="46CC1F51"/>
    <w:rsid w:val="46ED24A2"/>
    <w:rsid w:val="487E0D7E"/>
    <w:rsid w:val="4AD7736C"/>
    <w:rsid w:val="4B8A3F84"/>
    <w:rsid w:val="4C3B4A29"/>
    <w:rsid w:val="4CAE4D38"/>
    <w:rsid w:val="4CD27092"/>
    <w:rsid w:val="4D416DCE"/>
    <w:rsid w:val="4D594475"/>
    <w:rsid w:val="4E257040"/>
    <w:rsid w:val="4E6E0718"/>
    <w:rsid w:val="4EB93137"/>
    <w:rsid w:val="514E65F3"/>
    <w:rsid w:val="516B68C8"/>
    <w:rsid w:val="532C2301"/>
    <w:rsid w:val="56DA3153"/>
    <w:rsid w:val="56FE7B2F"/>
    <w:rsid w:val="572A2B91"/>
    <w:rsid w:val="578135A0"/>
    <w:rsid w:val="5ACF2987"/>
    <w:rsid w:val="5CCE66D5"/>
    <w:rsid w:val="5D7F2C7A"/>
    <w:rsid w:val="5FD0250C"/>
    <w:rsid w:val="603B0CB0"/>
    <w:rsid w:val="609A6C8B"/>
    <w:rsid w:val="60BD5766"/>
    <w:rsid w:val="624C0D43"/>
    <w:rsid w:val="63F97611"/>
    <w:rsid w:val="658713A2"/>
    <w:rsid w:val="665A5356"/>
    <w:rsid w:val="6684087E"/>
    <w:rsid w:val="67125837"/>
    <w:rsid w:val="681151C8"/>
    <w:rsid w:val="6A995C7D"/>
    <w:rsid w:val="6B850EE2"/>
    <w:rsid w:val="6BC309B6"/>
    <w:rsid w:val="6BF72930"/>
    <w:rsid w:val="6C535B83"/>
    <w:rsid w:val="6D6E1218"/>
    <w:rsid w:val="6E11612E"/>
    <w:rsid w:val="6EA92939"/>
    <w:rsid w:val="6F4F630E"/>
    <w:rsid w:val="70EF3E1D"/>
    <w:rsid w:val="71F80EDE"/>
    <w:rsid w:val="74B46F86"/>
    <w:rsid w:val="759E7B54"/>
    <w:rsid w:val="76542E2F"/>
    <w:rsid w:val="776F2970"/>
    <w:rsid w:val="78AA6B87"/>
    <w:rsid w:val="792027AF"/>
    <w:rsid w:val="79761752"/>
    <w:rsid w:val="7AAC00BD"/>
    <w:rsid w:val="7ADE3752"/>
    <w:rsid w:val="7D491447"/>
    <w:rsid w:val="7D6C7155"/>
    <w:rsid w:val="7D997FC8"/>
    <w:rsid w:val="7DC1309B"/>
    <w:rsid w:val="7DF870B2"/>
    <w:rsid w:val="7E2F6E92"/>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432"/>
        <w:tab w:val="clear" w:pos="864"/>
      </w:tabs>
      <w:ind w:left="1701" w:hanging="1701"/>
      <w:outlineLvl w:val="4"/>
    </w:pPr>
    <w:rPr>
      <w:sz w:val="22"/>
    </w:rPr>
  </w:style>
  <w:style w:type="paragraph" w:styleId="7">
    <w:name w:val="heading 6"/>
    <w:basedOn w:val="8"/>
    <w:next w:val="1"/>
    <w:qFormat/>
    <w:uiPriority w:val="0"/>
    <w:pPr>
      <w:tabs>
        <w:tab w:val="left" w:pos="432"/>
      </w:tabs>
      <w:outlineLvl w:val="5"/>
    </w:p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annotation text"/>
    <w:basedOn w:val="1"/>
    <w:qFormat/>
    <w:uiPriority w:val="0"/>
    <w:pPr>
      <w:jc w:val="left"/>
    </w:pPr>
  </w:style>
  <w:style w:type="paragraph" w:styleId="10">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1">
    <w:name w:val="List"/>
    <w:basedOn w:val="1"/>
    <w:qFormat/>
    <w:uiPriority w:val="0"/>
    <w:pPr>
      <w:ind w:left="568" w:hanging="284"/>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TAN"/>
    <w:basedOn w:val="20"/>
    <w:qFormat/>
    <w:uiPriority w:val="0"/>
    <w:pPr>
      <w:ind w:left="851" w:hanging="851"/>
    </w:pPr>
  </w:style>
  <w:style w:type="paragraph" w:customStyle="1" w:styleId="22">
    <w:name w:val="B1"/>
    <w:basedOn w:val="1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CMCC-Jingjing</cp:lastModifiedBy>
  <dcterms:modified xsi:type="dcterms:W3CDTF">2025-10-02T02:10:05Z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D7914810C25943A9B23237FB063E3B17</vt:lpwstr>
  </property>
</Properties>
</file>